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B8" w:rsidRPr="00A91C3D" w:rsidRDefault="000D76B8" w:rsidP="000D76B8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Ziņojums par lēmuma pieņemšanu iepirkumā</w:t>
      </w:r>
    </w:p>
    <w:p w:rsidR="000D76B8" w:rsidRPr="00A91C3D" w:rsidRDefault="000D76B8" w:rsidP="000D76B8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>
        <w:rPr>
          <w:rFonts w:asciiTheme="minorHAnsi" w:hAnsiTheme="minorHAnsi" w:cstheme="minorHAnsi"/>
          <w:b/>
          <w:lang w:val="lv-LV"/>
        </w:rPr>
        <w:t>Bezvadu interneta piekļuves punktu izveide Nīcas novadā”</w:t>
      </w:r>
      <w:r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0D76B8" w:rsidRPr="00A91C3D" w:rsidTr="00485DEF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A91C3D" w:rsidRDefault="000D76B8" w:rsidP="00485DEF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0D76B8" w:rsidRPr="00A91C3D" w:rsidRDefault="000D76B8" w:rsidP="00485DEF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0D76B8" w:rsidRPr="00A91C3D" w:rsidRDefault="000D76B8" w:rsidP="00485DEF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0D76B8" w:rsidRPr="00A91C3D" w:rsidTr="00485DEF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A91C3D" w:rsidRDefault="000D76B8" w:rsidP="000D76B8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Pr="00A91C3D">
              <w:rPr>
                <w:rFonts w:asciiTheme="minorHAnsi" w:hAnsiTheme="minorHAnsi" w:cstheme="minorHAnsi"/>
                <w:b/>
              </w:rPr>
              <w:t>NND/20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A91C3D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0D76B8" w:rsidRPr="00A91C3D" w:rsidTr="00485DEF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7F0521" w:rsidRDefault="000D76B8" w:rsidP="00485DE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7F0521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0D76B8" w:rsidRPr="00A91C3D" w:rsidTr="00485DEF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7F0521" w:rsidRDefault="000D76B8" w:rsidP="00485DE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Piekļuves punktu uzstādīšana publiskā interneta bezvadu tīkla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tīkla) pārklājuma paplašināšanai Nīcas novadā un šā tīkla administrēšanas portāla konfigurēšana un uzturēšana, saskaņā ar tehnisko specifikāciju (nolikuma 9</w:t>
            </w: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.pielikums).</w:t>
            </w:r>
          </w:p>
        </w:tc>
      </w:tr>
      <w:tr w:rsidR="000D76B8" w:rsidRPr="00A91C3D" w:rsidTr="00485DEF"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0D76B8" w:rsidRDefault="000D76B8" w:rsidP="000D76B8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0D76B8">
              <w:rPr>
                <w:rFonts w:asciiTheme="minorHAnsi" w:hAnsiTheme="minorHAnsi" w:cstheme="minorHAnsi"/>
                <w:sz w:val="24"/>
                <w:szCs w:val="24"/>
              </w:rPr>
              <w:t xml:space="preserve">piegādāt un uzstādīt bezvadu interneta piekļuves punktus (turpmāk – Preci) Pasūtītājam 70 (septiņdesmit) dienu laikā no Līguma noslēgšanas dienas un sniegt bezvadu interneta tīkla administrēšanas portāla konfigurēšanas un uzturēšanas pakalpojumu vismaz 36 mēnešus no dienas, kad “Inovācijas un tīklu </w:t>
            </w:r>
            <w:proofErr w:type="spellStart"/>
            <w:r w:rsidRPr="000D76B8">
              <w:rPr>
                <w:rFonts w:asciiTheme="minorHAnsi" w:hAnsiTheme="minorHAnsi" w:cstheme="minorHAnsi"/>
                <w:sz w:val="24"/>
                <w:szCs w:val="24"/>
              </w:rPr>
              <w:t>izpildaģentūra</w:t>
            </w:r>
            <w:proofErr w:type="spellEnd"/>
            <w:r w:rsidRPr="000D76B8">
              <w:rPr>
                <w:rFonts w:asciiTheme="minorHAnsi" w:hAnsiTheme="minorHAnsi" w:cstheme="minorHAnsi"/>
                <w:sz w:val="24"/>
                <w:szCs w:val="24"/>
              </w:rPr>
              <w:t>” (turpmāk – INEA) Pasūtītājam ir nosūtījusi apliecinājumu par bezvadu interneta WiFi4EU (turpmāk – WiFi4EU) uzstādīšanas nosacījumu izpildi.</w:t>
            </w:r>
          </w:p>
          <w:p w:rsidR="000D76B8" w:rsidRPr="007F0521" w:rsidRDefault="000D76B8" w:rsidP="00485DE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0D76B8" w:rsidRPr="00A91C3D" w:rsidTr="00485DEF"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0D76B8" w:rsidRDefault="000D76B8" w:rsidP="00485DEF">
            <w:pPr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D76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32412110-8 </w:t>
            </w:r>
            <w:r w:rsidRPr="000D76B8">
              <w:rPr>
                <w:rFonts w:asciiTheme="minorHAnsi" w:hAnsiTheme="minorHAnsi" w:cstheme="minorHAnsi"/>
                <w:sz w:val="24"/>
                <w:szCs w:val="24"/>
              </w:rPr>
              <w:t xml:space="preserve"> (Interneta tīkls).</w:t>
            </w:r>
          </w:p>
        </w:tc>
      </w:tr>
      <w:tr w:rsidR="000D76B8" w:rsidRPr="00A91C3D" w:rsidTr="00485DEF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7F0521" w:rsidRDefault="000D76B8" w:rsidP="00485DE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11.08</w:t>
            </w:r>
            <w:r w:rsidRPr="007F0521">
              <w:rPr>
                <w:rFonts w:asciiTheme="minorHAnsi" w:hAnsiTheme="minorHAnsi" w:cstheme="minorHAnsi"/>
                <w:bCs/>
                <w:lang w:eastAsia="ar-SA"/>
              </w:rPr>
              <w:t>.20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20</w:t>
            </w:r>
            <w:r w:rsidRPr="007F0521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0D76B8" w:rsidRPr="00A91C3D" w:rsidTr="00485DEF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7F0521" w:rsidRDefault="000D76B8" w:rsidP="00485DEF">
            <w:pPr>
              <w:jc w:val="both"/>
              <w:rPr>
                <w:rFonts w:asciiTheme="minorHAnsi" w:hAnsiTheme="minorHAnsi" w:cstheme="minorHAnsi"/>
                <w:bCs/>
                <w:lang w:eastAsia="x-none"/>
              </w:rPr>
            </w:pPr>
            <w:r w:rsidRPr="007F0521">
              <w:rPr>
                <w:rFonts w:asciiTheme="minorHAnsi" w:hAnsiTheme="minorHAnsi"/>
                <w:sz w:val="24"/>
                <w:szCs w:val="24"/>
              </w:rPr>
              <w:t xml:space="preserve">Iepirkumu organizē ar Nīcas novada domes </w:t>
            </w:r>
            <w:r w:rsidRPr="007F0521">
              <w:rPr>
                <w:rFonts w:asciiTheme="minorHAnsi" w:hAnsiTheme="minorHAnsi" w:cstheme="minorHAnsi"/>
                <w:sz w:val="24"/>
                <w:szCs w:val="24"/>
              </w:rPr>
              <w:t>2020.gada 1.jūnija rīkojumu Nr.2.1.5/59 par Nīcas novada domes iepirkuma komisiju (turpmāk - Komisija).</w:t>
            </w:r>
          </w:p>
        </w:tc>
      </w:tr>
      <w:tr w:rsidR="000D76B8" w:rsidRPr="00A91C3D" w:rsidTr="00485DEF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A91C3D" w:rsidRDefault="000D76B8" w:rsidP="00485DE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0D76B8" w:rsidRPr="00A91C3D" w:rsidRDefault="000D76B8" w:rsidP="00485DE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Komisijas priekšsēdētājas vietniece: Ieva </w:t>
            </w:r>
            <w:proofErr w:type="spellStart"/>
            <w:r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Pr="00A91C3D">
              <w:rPr>
                <w:rFonts w:asciiTheme="minorHAnsi" w:hAnsiTheme="minorHAnsi" w:cstheme="minorHAnsi"/>
              </w:rPr>
              <w:t>,</w:t>
            </w:r>
          </w:p>
          <w:p w:rsidR="000D76B8" w:rsidRPr="00A91C3D" w:rsidRDefault="000D76B8" w:rsidP="00485DE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0D76B8" w:rsidRPr="00A91C3D" w:rsidRDefault="000D76B8" w:rsidP="00485DE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</w:t>
            </w:r>
            <w:proofErr w:type="spellStart"/>
            <w:r w:rsidRPr="00A91C3D">
              <w:rPr>
                <w:rFonts w:asciiTheme="minorHAnsi" w:hAnsiTheme="minorHAnsi" w:cstheme="minorHAnsi"/>
              </w:rPr>
              <w:t>Veiss</w:t>
            </w:r>
            <w:proofErr w:type="spellEnd"/>
            <w:r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0D76B8" w:rsidRPr="00A91C3D" w:rsidRDefault="000D76B8" w:rsidP="00485DE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0D76B8" w:rsidRDefault="000D76B8" w:rsidP="00485DEF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D50C46" w:rsidRPr="00A91C3D" w:rsidRDefault="000D76B8" w:rsidP="00D50C46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Anda Liepa.</w:t>
            </w:r>
            <w:bookmarkStart w:id="0" w:name="_GoBack"/>
            <w:bookmarkEnd w:id="0"/>
          </w:p>
        </w:tc>
      </w:tr>
      <w:tr w:rsidR="000D76B8" w:rsidRPr="00A91C3D" w:rsidTr="00485DEF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EB4577" w:rsidRPr="00EB4577" w:rsidRDefault="00EB4577" w:rsidP="00EB4577">
            <w:pPr>
              <w:tabs>
                <w:tab w:val="left" w:pos="75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4577">
              <w:rPr>
                <w:rFonts w:asciiTheme="minorHAnsi" w:hAnsiTheme="minorHAnsi" w:cstheme="minorHAnsi"/>
                <w:sz w:val="24"/>
                <w:szCs w:val="24"/>
              </w:rPr>
              <w:t>Pamatojoties uz Publisko iepirkumu likuma 51. pantu, Komisija piešķir līguma slēgšanas tiesības saimnieciski visizdevīgākajam piedāvājumam, kuru nosaka, ņemot vērā vērtēšanas kritērijus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nolikuma </w:t>
            </w:r>
            <w:r w:rsidRPr="00EB4577">
              <w:rPr>
                <w:rFonts w:asciiTheme="minorHAnsi" w:hAnsiTheme="minorHAnsi" w:cstheme="minorHAnsi"/>
                <w:sz w:val="24"/>
                <w:szCs w:val="24"/>
              </w:rPr>
              <w:t>4.4.punkts) un, kas atbilst nolikuma un tā pielikumu prasībām un nav atzīts par nepamatoti lētu.</w:t>
            </w:r>
          </w:p>
          <w:p w:rsidR="000D76B8" w:rsidRPr="00A91C3D" w:rsidRDefault="000D76B8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76B8" w:rsidRPr="00A91C3D" w:rsidTr="00485DEF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A91C3D" w:rsidRDefault="000D76B8" w:rsidP="00EB457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Pr="00A91C3D">
              <w:rPr>
                <w:rFonts w:asciiTheme="minorHAnsi" w:hAnsiTheme="minorHAnsi" w:cstheme="minorHAnsi"/>
              </w:rPr>
              <w:t xml:space="preserve"> līdz 20</w:t>
            </w:r>
            <w:r>
              <w:rPr>
                <w:rFonts w:asciiTheme="minorHAnsi" w:hAnsiTheme="minorHAnsi" w:cstheme="minorHAnsi"/>
              </w:rPr>
              <w:t>20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 w:rsidR="00EB4577">
              <w:rPr>
                <w:rFonts w:asciiTheme="minorHAnsi" w:hAnsiTheme="minorHAnsi" w:cstheme="minorHAnsi"/>
              </w:rPr>
              <w:t>03</w:t>
            </w:r>
            <w:r w:rsidRPr="00A91C3D">
              <w:rPr>
                <w:rFonts w:asciiTheme="minorHAnsi" w:hAnsiTheme="minorHAnsi" w:cstheme="minorHAnsi"/>
              </w:rPr>
              <w:t>.</w:t>
            </w:r>
            <w:r w:rsidR="00EB4577">
              <w:rPr>
                <w:rFonts w:asciiTheme="minorHAnsi" w:hAnsiTheme="minorHAnsi" w:cstheme="minorHAnsi"/>
              </w:rPr>
              <w:t>septembrim</w:t>
            </w:r>
            <w:r w:rsidRPr="00A91C3D">
              <w:rPr>
                <w:rFonts w:asciiTheme="minorHAnsi" w:hAnsiTheme="minorHAnsi" w:cstheme="minorHAnsi"/>
              </w:rPr>
              <w:t xml:space="preserve">, plkst.14:00. </w:t>
            </w:r>
          </w:p>
        </w:tc>
      </w:tr>
      <w:tr w:rsidR="000D76B8" w:rsidRPr="00A91C3D" w:rsidTr="00485DEF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atvēršanas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A91C3D" w:rsidRDefault="000D76B8" w:rsidP="00EB457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dome, Bārtas iela 6, Nīcā, Nīcas pagastā, Nīcas novadā, LV-3473, 20</w:t>
            </w:r>
            <w:r>
              <w:rPr>
                <w:rFonts w:asciiTheme="minorHAnsi" w:hAnsiTheme="minorHAnsi" w:cstheme="minorHAnsi"/>
              </w:rPr>
              <w:t>20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 w:rsidR="00EB4577">
              <w:rPr>
                <w:rFonts w:asciiTheme="minorHAnsi" w:hAnsiTheme="minorHAnsi" w:cstheme="minorHAnsi"/>
              </w:rPr>
              <w:t>3</w:t>
            </w:r>
            <w:r w:rsidRPr="00A91C3D">
              <w:rPr>
                <w:rFonts w:asciiTheme="minorHAnsi" w:hAnsiTheme="minorHAnsi" w:cstheme="minorHAnsi"/>
              </w:rPr>
              <w:t>.</w:t>
            </w:r>
            <w:r w:rsidR="00EB4577">
              <w:rPr>
                <w:rFonts w:asciiTheme="minorHAnsi" w:hAnsiTheme="minorHAnsi" w:cstheme="minorHAnsi"/>
              </w:rPr>
              <w:t>septembrī</w:t>
            </w:r>
            <w:r w:rsidRPr="00A91C3D">
              <w:rPr>
                <w:rFonts w:asciiTheme="minorHAnsi" w:hAnsiTheme="minorHAnsi" w:cstheme="minorHAnsi"/>
              </w:rPr>
              <w:t xml:space="preserve">, plkst.14:00. </w:t>
            </w: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0D76B8" w:rsidRDefault="00EB4577" w:rsidP="00EB4577">
            <w:pPr>
              <w:pStyle w:val="Bezatstarpm"/>
              <w:ind w:right="132"/>
              <w:jc w:val="both"/>
              <w:rPr>
                <w:rFonts w:asciiTheme="minorHAnsi" w:eastAsia="Helvetica" w:hAnsiTheme="minorHAnsi" w:cstheme="minorHAnsi"/>
              </w:rPr>
            </w:pPr>
            <w:proofErr w:type="spellStart"/>
            <w:r w:rsidRPr="0067126A">
              <w:rPr>
                <w:rFonts w:asciiTheme="minorHAnsi" w:eastAsia="Helvetica" w:hAnsiTheme="minorHAnsi" w:cstheme="minorHAnsi"/>
                <w:b/>
              </w:rPr>
              <w:t>Pretendents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piegādātājs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kurš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ir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iesniedzis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piedāvājumu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>.</w:t>
            </w:r>
            <w:r w:rsidRPr="0067126A">
              <w:rPr>
                <w:rFonts w:asciiTheme="minorHAnsi" w:eastAsia="Helvetica" w:hAnsiTheme="minorHAnsi" w:cstheme="minorHAnsi"/>
                <w:b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  <w:b/>
              </w:rPr>
              <w:t>Piegādātājs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> 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var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būt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fizisk</w:t>
            </w:r>
            <w:r>
              <w:rPr>
                <w:rFonts w:asciiTheme="minorHAnsi" w:eastAsia="Helvetica" w:hAnsiTheme="minorHAnsi" w:cstheme="minorHAnsi"/>
              </w:rPr>
              <w:t>a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juridisk</w:t>
            </w:r>
            <w:r>
              <w:rPr>
                <w:rFonts w:asciiTheme="minorHAnsi" w:eastAsia="Helvetica" w:hAnsiTheme="minorHAnsi" w:cstheme="minorHAnsi"/>
              </w:rPr>
              <w:t>a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r w:rsidRPr="0067126A">
              <w:rPr>
                <w:rFonts w:asciiTheme="minorHAnsi" w:eastAsia="Helvetica" w:hAnsiTheme="minorHAnsi" w:cstheme="minorHAnsi"/>
              </w:rPr>
              <w:lastRenderedPageBreak/>
              <w:t>persona,</w:t>
            </w:r>
            <w:r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Helvetica" w:hAnsiTheme="minorHAnsi" w:cstheme="minorHAnsi"/>
              </w:rPr>
              <w:t>vai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šādu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personu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apvienība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jebkurā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to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kombinācijā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,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kas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attiecīgi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piedāvā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tirgū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eastAsia="Helvetica" w:hAnsiTheme="minorHAnsi" w:cstheme="minorHAnsi"/>
              </w:rPr>
              <w:t>veikt</w:t>
            </w:r>
            <w:proofErr w:type="spellEnd"/>
            <w:r w:rsidRPr="0067126A"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Helvetica" w:hAnsiTheme="minorHAnsi" w:cstheme="minorHAnsi"/>
              </w:rPr>
              <w:t>nepieciešamos</w:t>
            </w:r>
            <w:proofErr w:type="spellEnd"/>
            <w:r>
              <w:rPr>
                <w:rFonts w:asciiTheme="minorHAnsi" w:eastAsia="Helvetic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Helvetica" w:hAnsiTheme="minorHAnsi" w:cstheme="minorHAnsi"/>
              </w:rPr>
              <w:t>pakalpojumus</w:t>
            </w:r>
            <w:proofErr w:type="spellEnd"/>
            <w:r>
              <w:rPr>
                <w:rFonts w:asciiTheme="minorHAnsi" w:eastAsia="Helvetica" w:hAnsiTheme="minorHAnsi" w:cstheme="minorHAnsi"/>
              </w:rPr>
              <w:t>.</w:t>
            </w:r>
          </w:p>
          <w:p w:rsidR="006A1876" w:rsidRPr="00A91C3D" w:rsidRDefault="006A1876" w:rsidP="00EB4577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Default="00EB4577" w:rsidP="00EB4577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7126A">
              <w:rPr>
                <w:rFonts w:asciiTheme="minorHAnsi" w:hAnsiTheme="minorHAnsi" w:cstheme="minorHAnsi"/>
              </w:rPr>
              <w:lastRenderedPageBreak/>
              <w:t>Ja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ir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piegādātāju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apvienība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67126A">
              <w:rPr>
                <w:rFonts w:asciiTheme="minorHAnsi" w:hAnsiTheme="minorHAnsi" w:cstheme="minorHAnsi"/>
              </w:rPr>
              <w:t>sabiedrības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līgumā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nav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atrunātas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pārstāvības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tiesības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pieteikuma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oriģināls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jāparaksta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katra</w:t>
            </w:r>
            <w:r>
              <w:rPr>
                <w:rFonts w:asciiTheme="minorHAnsi" w:hAnsiTheme="minorHAnsi" w:cstheme="minorHAnsi"/>
              </w:rPr>
              <w:t>i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persona</w:t>
            </w:r>
            <w:r>
              <w:rPr>
                <w:rFonts w:asciiTheme="minorHAnsi" w:hAnsiTheme="minorHAnsi" w:cstheme="minorHAnsi"/>
              </w:rPr>
              <w:t>s</w:t>
            </w:r>
            <w:r w:rsidRPr="006712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126A">
              <w:rPr>
                <w:rFonts w:asciiTheme="minorHAnsi" w:hAnsiTheme="minorHAnsi" w:cstheme="minorHAnsi"/>
              </w:rPr>
              <w:t>kas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iekļauta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piegādātāju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apvienībā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pārstāvim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ar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pārstāvības</w:t>
            </w:r>
            <w:proofErr w:type="spellEnd"/>
            <w:r w:rsidRPr="006712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126A">
              <w:rPr>
                <w:rFonts w:asciiTheme="minorHAnsi" w:hAnsiTheme="minorHAnsi" w:cstheme="minorHAnsi"/>
              </w:rPr>
              <w:t>tiesībām</w:t>
            </w:r>
            <w:proofErr w:type="spellEnd"/>
            <w:r w:rsidRPr="0067126A">
              <w:rPr>
                <w:rFonts w:asciiTheme="minorHAnsi" w:hAnsiTheme="minorHAnsi" w:cstheme="minorHAnsi"/>
              </w:rPr>
              <w:t>.</w:t>
            </w:r>
          </w:p>
          <w:p w:rsidR="006A1876" w:rsidRPr="0067126A" w:rsidRDefault="006A1876" w:rsidP="00EB4577">
            <w:pPr>
              <w:pStyle w:val="Bezatstarpm"/>
              <w:ind w:right="132"/>
              <w:jc w:val="both"/>
              <w:rPr>
                <w:rFonts w:asciiTheme="minorHAnsi" w:eastAsia="Helvetica" w:hAnsiTheme="minorHAnsi" w:cstheme="minorHAnsi"/>
                <w:b/>
              </w:rPr>
            </w:pP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0D76B8" w:rsidRDefault="00EB4577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D3582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sniegt pasūtītājam nepieciešamos pakalpojumus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A1876" w:rsidRPr="00A91C3D" w:rsidRDefault="006A1876" w:rsidP="00485DE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Pr="00EB4577" w:rsidRDefault="00EB4577" w:rsidP="00EB4577">
            <w:pPr>
              <w:ind w:right="1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4577">
              <w:rPr>
                <w:rFonts w:asciiTheme="minorHAnsi" w:hAnsiTheme="minorHAnsi" w:cstheme="minorHAnsi"/>
                <w:sz w:val="24"/>
                <w:szCs w:val="24"/>
              </w:rPr>
              <w:t xml:space="preserve">Pretendents ir reģistrēts Eiropas Komisijas portālā </w:t>
            </w:r>
            <w:r w:rsidRPr="00EB4577">
              <w:rPr>
                <w:rFonts w:asciiTheme="minorHAnsi" w:hAnsiTheme="minorHAnsi" w:cstheme="minorHAnsi"/>
                <w:color w:val="0070C0"/>
                <w:sz w:val="24"/>
                <w:szCs w:val="24"/>
                <w:u w:val="single"/>
              </w:rPr>
              <w:t>wifi4eu.ec.europa.eu</w:t>
            </w:r>
            <w:r w:rsidRPr="00EB4577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  <w:r w:rsidRPr="00EB4577">
              <w:rPr>
                <w:rFonts w:asciiTheme="minorHAnsi" w:hAnsiTheme="minorHAnsi" w:cstheme="minorHAnsi"/>
                <w:sz w:val="24"/>
                <w:szCs w:val="24"/>
              </w:rPr>
              <w:t>kā Bezvadu interneta uzstādīšanas uzņēmums.</w:t>
            </w:r>
          </w:p>
          <w:p w:rsidR="000D76B8" w:rsidRDefault="00EB4577" w:rsidP="00EB4577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D6634">
              <w:rPr>
                <w:rFonts w:asciiTheme="minorHAnsi" w:hAnsiTheme="minorHAnsi" w:cstheme="minorHAnsi"/>
              </w:rPr>
              <w:t>Pretendentam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D6634">
              <w:rPr>
                <w:rFonts w:asciiTheme="minorHAnsi" w:hAnsiTheme="minorHAnsi" w:cstheme="minorHAnsi"/>
              </w:rPr>
              <w:t>kas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nebūs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reģistrēts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Eiropas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Komisijas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portālā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r w:rsidRPr="003D6634">
              <w:rPr>
                <w:rFonts w:asciiTheme="minorHAnsi" w:hAnsiTheme="minorHAnsi" w:cstheme="minorHAnsi"/>
                <w:color w:val="0070C0"/>
                <w:u w:val="single"/>
              </w:rPr>
              <w:t>wifi4eu.ec.europa.eu</w:t>
            </w:r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kā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Bezvadu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interneta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uzstādīšanas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uzņēmums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, bet </w:t>
            </w:r>
            <w:proofErr w:type="spellStart"/>
            <w:r w:rsidRPr="003D6634">
              <w:rPr>
                <w:rFonts w:asciiTheme="minorHAnsi" w:hAnsiTheme="minorHAnsi" w:cstheme="minorHAnsi"/>
              </w:rPr>
              <w:t>kuram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būtu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piešķiramas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līguma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slēgšanas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tiesības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D6634">
              <w:rPr>
                <w:rFonts w:asciiTheme="minorHAnsi" w:hAnsiTheme="minorHAnsi" w:cstheme="minorHAnsi"/>
              </w:rPr>
              <w:t>reģistrācija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jāizdara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14 </w:t>
            </w:r>
            <w:proofErr w:type="spellStart"/>
            <w:r>
              <w:rPr>
                <w:rFonts w:asciiTheme="minorHAnsi" w:hAnsiTheme="minorHAnsi" w:cstheme="minorHAnsi"/>
              </w:rPr>
              <w:t>dienu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laikā</w:t>
            </w:r>
            <w:proofErr w:type="spellEnd"/>
            <w:r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</w:rPr>
              <w:t>lēmuma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pieņemšanas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dienas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6A1876" w:rsidRPr="007F0521" w:rsidRDefault="006A1876" w:rsidP="00EB4577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0D76B8" w:rsidRDefault="00EB4577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D6634">
              <w:rPr>
                <w:rFonts w:asciiTheme="minorHAnsi" w:hAnsiTheme="minorHAnsi" w:cstheme="minorHAnsi"/>
              </w:rPr>
              <w:t>Pretendents iekārtas spēj piegādāt un uzstādīt par saviem līdzekļiem.</w:t>
            </w:r>
          </w:p>
          <w:p w:rsidR="006A1876" w:rsidRPr="00A91C3D" w:rsidRDefault="006A1876" w:rsidP="00485DEF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0D76B8" w:rsidRDefault="00EB4577" w:rsidP="00485DEF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1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viena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</w:t>
            </w:r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līdzī</w:t>
            </w:r>
            <w:r>
              <w:rPr>
                <w:rFonts w:asciiTheme="minorHAnsi" w:hAnsiTheme="minorHAnsi" w:cstheme="minorHAnsi"/>
                <w:bCs/>
              </w:rPr>
              <w:t>ga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līgum</w:t>
            </w:r>
            <w:r>
              <w:rPr>
                <w:rFonts w:asciiTheme="minorHAnsi" w:hAnsiTheme="minorHAnsi" w:cstheme="minorHAnsi"/>
                <w:bCs/>
              </w:rPr>
              <w:t>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DC7F4D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(201</w:t>
            </w:r>
            <w:r>
              <w:rPr>
                <w:rFonts w:asciiTheme="minorHAnsi" w:hAnsiTheme="minorHAnsi" w:cstheme="minorHAnsi"/>
                <w:bCs/>
              </w:rPr>
              <w:t>7</w:t>
            </w:r>
            <w:r w:rsidRPr="00DC7F4D">
              <w:rPr>
                <w:rFonts w:asciiTheme="minorHAnsi" w:hAnsiTheme="minorHAnsi" w:cstheme="minorHAnsi"/>
                <w:bCs/>
              </w:rPr>
              <w:t>., 201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Pr="00DC7F4D">
              <w:rPr>
                <w:rFonts w:asciiTheme="minorHAnsi" w:hAnsiTheme="minorHAnsi" w:cstheme="minorHAnsi"/>
                <w:bCs/>
              </w:rPr>
              <w:t>., 201</w:t>
            </w:r>
            <w:r>
              <w:rPr>
                <w:rFonts w:asciiTheme="minorHAnsi" w:hAnsiTheme="minorHAnsi" w:cstheme="minorHAnsi"/>
                <w:bCs/>
              </w:rPr>
              <w:t>9</w:t>
            </w:r>
            <w:r w:rsidRPr="00DC7F4D">
              <w:rPr>
                <w:rFonts w:asciiTheme="minorHAnsi" w:hAnsiTheme="minorHAnsi" w:cstheme="minorHAnsi"/>
                <w:bCs/>
              </w:rPr>
              <w:t xml:space="preserve"> un 20</w:t>
            </w:r>
            <w:r>
              <w:rPr>
                <w:rFonts w:asciiTheme="minorHAnsi" w:hAnsiTheme="minorHAnsi" w:cstheme="minorHAnsi"/>
                <w:bCs/>
              </w:rPr>
              <w:t>20</w:t>
            </w:r>
            <w:r w:rsidRPr="00DC7F4D">
              <w:rPr>
                <w:rFonts w:asciiTheme="minorHAnsi" w:hAnsiTheme="minorHAnsi" w:cstheme="minorHAnsi"/>
                <w:bCs/>
              </w:rPr>
              <w:t xml:space="preserve">.gads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kur</w:t>
            </w:r>
            <w:r>
              <w:rPr>
                <w:rFonts w:asciiTheme="minorHAnsi" w:hAnsiTheme="minorHAnsi" w:cstheme="minorHAnsi"/>
                <w:bCs/>
              </w:rPr>
              <w:t>a</w:t>
            </w:r>
            <w:proofErr w:type="spellEnd"/>
            <w:r w:rsidRPr="00DC7F4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7F4D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publiskā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interneta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bezvadu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tīkla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piekļuves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punktu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izvei</w:t>
            </w:r>
            <w:r>
              <w:rPr>
                <w:rFonts w:asciiTheme="minorHAnsi" w:hAnsiTheme="minorHAnsi" w:cstheme="minorHAnsi"/>
              </w:rPr>
              <w:t>dei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nepieciešamo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iekārtu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piegāde</w:t>
            </w:r>
            <w:proofErr w:type="spellEnd"/>
            <w:r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>
              <w:rPr>
                <w:rFonts w:asciiTheme="minorHAnsi" w:hAnsiTheme="minorHAnsi" w:cstheme="minorHAnsi"/>
              </w:rPr>
              <w:t>uzstādīšana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D6634">
              <w:rPr>
                <w:rFonts w:asciiTheme="minorHAnsi" w:hAnsiTheme="minorHAnsi" w:cstheme="minorHAnsi"/>
              </w:rPr>
              <w:t>bezvadu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interneta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tīkla</w:t>
            </w:r>
            <w:proofErr w:type="spellEnd"/>
            <w:r w:rsidRPr="003D66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6634">
              <w:rPr>
                <w:rFonts w:asciiTheme="minorHAnsi" w:hAnsiTheme="minorHAnsi" w:cstheme="minorHAnsi"/>
              </w:rPr>
              <w:t>ad</w:t>
            </w:r>
            <w:r>
              <w:rPr>
                <w:rFonts w:asciiTheme="minorHAnsi" w:hAnsiTheme="minorHAnsi" w:cstheme="minorHAnsi"/>
              </w:rPr>
              <w:t>ministrācijas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portāla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uzturēšana</w:t>
            </w:r>
            <w:proofErr w:type="spellEnd"/>
            <w:r w:rsidRPr="003D6634">
              <w:rPr>
                <w:rFonts w:asciiTheme="minorHAnsi" w:hAnsiTheme="minorHAnsi" w:cstheme="minorHAnsi"/>
              </w:rPr>
              <w:t>.</w:t>
            </w:r>
          </w:p>
          <w:p w:rsidR="006A1876" w:rsidRPr="00A91C3D" w:rsidRDefault="006A1876" w:rsidP="00485DEF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Default="00EB4577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Pretendents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var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balstīties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citu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saimnieciskajām</w:t>
            </w:r>
            <w:proofErr w:type="spellEnd"/>
            <w:r w:rsidRPr="00AF3F4B">
              <w:rPr>
                <w:rFonts w:ascii="Calibri" w:hAnsi="Calibri" w:cs="Calibri"/>
              </w:rPr>
              <w:t xml:space="preserve"> un </w:t>
            </w:r>
            <w:proofErr w:type="spellStart"/>
            <w:r w:rsidRPr="00AF3F4B">
              <w:rPr>
                <w:rFonts w:ascii="Calibri" w:hAnsi="Calibri" w:cs="Calibri"/>
              </w:rPr>
              <w:t>finansiālajām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iespējām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konkrētā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neatkarīgi</w:t>
            </w:r>
            <w:proofErr w:type="spellEnd"/>
            <w:r w:rsidRPr="00AF3F4B">
              <w:rPr>
                <w:rFonts w:ascii="Calibri" w:hAnsi="Calibri" w:cs="Calibri"/>
              </w:rPr>
              <w:t xml:space="preserve"> no </w:t>
            </w:r>
            <w:proofErr w:type="spellStart"/>
            <w:r w:rsidRPr="00AF3F4B">
              <w:rPr>
                <w:rFonts w:ascii="Calibri" w:hAnsi="Calibri" w:cs="Calibri"/>
              </w:rPr>
              <w:t>savstarpējo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attiecību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tiesiskā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rakstura</w:t>
            </w:r>
            <w:proofErr w:type="spellEnd"/>
            <w:r w:rsidRPr="00AF3F4B">
              <w:rPr>
                <w:rFonts w:ascii="Calibri" w:hAnsi="Calibri" w:cs="Calibri"/>
              </w:rPr>
              <w:t>.</w:t>
            </w:r>
          </w:p>
          <w:p w:rsidR="00EB4577" w:rsidRDefault="00EB4577" w:rsidP="00EB4577">
            <w:pPr>
              <w:pStyle w:val="Bezatstarpm"/>
              <w:ind w:right="132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Šajā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gadījumā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pretendents</w:t>
            </w:r>
            <w:proofErr w:type="spellEnd"/>
            <w:r w:rsidRPr="00AF3F4B">
              <w:rPr>
                <w:rFonts w:ascii="Calibri" w:hAnsi="Calibri" w:cs="Calibri"/>
              </w:rPr>
              <w:t xml:space="preserve"> un persona,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kuras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saimnieciskajām</w:t>
            </w:r>
            <w:proofErr w:type="spellEnd"/>
            <w:r w:rsidRPr="00AF3F4B">
              <w:rPr>
                <w:rFonts w:ascii="Calibri" w:hAnsi="Calibri" w:cs="Calibri"/>
              </w:rPr>
              <w:t xml:space="preserve"> un </w:t>
            </w:r>
            <w:proofErr w:type="spellStart"/>
            <w:r w:rsidRPr="00AF3F4B">
              <w:rPr>
                <w:rFonts w:ascii="Calibri" w:hAnsi="Calibri" w:cs="Calibri"/>
              </w:rPr>
              <w:t>finansiālajām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balstās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solidāri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atbildīgi</w:t>
            </w:r>
            <w:proofErr w:type="spellEnd"/>
            <w:r w:rsidRPr="00AF3F4B">
              <w:rPr>
                <w:rFonts w:ascii="Calibri" w:hAnsi="Calibri" w:cs="Calibri"/>
              </w:rPr>
              <w:t xml:space="preserve"> par </w:t>
            </w:r>
            <w:proofErr w:type="spellStart"/>
            <w:r w:rsidRPr="00AF3F4B">
              <w:rPr>
                <w:rFonts w:ascii="Calibri" w:hAnsi="Calibri" w:cs="Calibri"/>
              </w:rPr>
              <w:t>iepirkuma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izpildi</w:t>
            </w:r>
            <w:proofErr w:type="spellEnd"/>
            <w:r w:rsidRPr="00AF3F4B">
              <w:rPr>
                <w:rFonts w:ascii="Calibri" w:hAnsi="Calibri" w:cs="Calibri"/>
              </w:rPr>
              <w:t>.</w:t>
            </w:r>
          </w:p>
          <w:p w:rsidR="006A1876" w:rsidRPr="00DC7F4D" w:rsidRDefault="006A1876" w:rsidP="00EB4577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Pr="00AF3F4B" w:rsidRDefault="00EB4577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Pretendents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var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balstīties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citu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tehniskajām</w:t>
            </w:r>
            <w:proofErr w:type="spellEnd"/>
            <w:r w:rsidRPr="00AF3F4B">
              <w:rPr>
                <w:rFonts w:ascii="Calibri" w:hAnsi="Calibri" w:cs="Calibri"/>
              </w:rPr>
              <w:t xml:space="preserve"> un </w:t>
            </w:r>
            <w:proofErr w:type="spellStart"/>
            <w:r w:rsidRPr="00AF3F4B">
              <w:rPr>
                <w:rFonts w:ascii="Calibri" w:hAnsi="Calibri" w:cs="Calibri"/>
              </w:rPr>
              <w:t>profesionālajām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iespējām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konkrētā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iepirkuma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neatkarīgi</w:t>
            </w:r>
            <w:proofErr w:type="spellEnd"/>
            <w:r w:rsidRPr="00AF3F4B">
              <w:rPr>
                <w:rFonts w:ascii="Calibri" w:hAnsi="Calibri" w:cs="Calibri"/>
              </w:rPr>
              <w:t xml:space="preserve"> no </w:t>
            </w:r>
            <w:proofErr w:type="spellStart"/>
            <w:r w:rsidRPr="00AF3F4B">
              <w:rPr>
                <w:rFonts w:ascii="Calibri" w:hAnsi="Calibri" w:cs="Calibri"/>
              </w:rPr>
              <w:t>savstarpējo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attiecību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tiesiskā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rakstura</w:t>
            </w:r>
            <w:proofErr w:type="spellEnd"/>
            <w:r w:rsidRPr="00AF3F4B">
              <w:rPr>
                <w:rFonts w:ascii="Calibri" w:hAnsi="Calibri" w:cs="Calibri"/>
              </w:rPr>
              <w:t xml:space="preserve">. </w:t>
            </w:r>
          </w:p>
          <w:p w:rsidR="00EB4577" w:rsidRDefault="00EB4577" w:rsidP="00EB4577">
            <w:pPr>
              <w:pStyle w:val="Bezatstarpm"/>
              <w:ind w:right="132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Pretendents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lai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apliecinātu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profesionālo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pieredzi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pasūtītāja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prasībām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atbilstoša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personāla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pieejamību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var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balstīties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citu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personu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iespējām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tikai</w:t>
            </w:r>
            <w:proofErr w:type="spellEnd"/>
            <w:r w:rsidRPr="00AF3F4B">
              <w:rPr>
                <w:rFonts w:ascii="Calibri" w:hAnsi="Calibri" w:cs="Calibri"/>
              </w:rPr>
              <w:t xml:space="preserve"> tad, </w:t>
            </w:r>
            <w:proofErr w:type="spellStart"/>
            <w:r w:rsidRPr="00AF3F4B">
              <w:rPr>
                <w:rFonts w:ascii="Calibri" w:hAnsi="Calibri" w:cs="Calibri"/>
              </w:rPr>
              <w:t>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šīs</w:t>
            </w:r>
            <w:proofErr w:type="spellEnd"/>
            <w:r w:rsidRPr="00AF3F4B">
              <w:rPr>
                <w:rFonts w:ascii="Calibri" w:hAnsi="Calibri" w:cs="Calibri"/>
              </w:rPr>
              <w:t xml:space="preserve"> personas </w:t>
            </w:r>
            <w:proofErr w:type="spellStart"/>
            <w:r w:rsidRPr="00AF3F4B">
              <w:rPr>
                <w:rFonts w:ascii="Calibri" w:hAnsi="Calibri" w:cs="Calibri"/>
              </w:rPr>
              <w:t>sniegs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pakalpojumus</w:t>
            </w:r>
            <w:proofErr w:type="spellEnd"/>
            <w:r w:rsidRPr="00AF3F4B">
              <w:rPr>
                <w:rFonts w:ascii="Calibri" w:hAnsi="Calibri" w:cs="Calibri"/>
              </w:rPr>
              <w:t xml:space="preserve">, kuru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attiecīgās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spējas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nepieciešamas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A1876" w:rsidRPr="00AF3F4B" w:rsidRDefault="006A1876" w:rsidP="00EB4577">
            <w:pPr>
              <w:pStyle w:val="Bezatstarpm"/>
              <w:ind w:right="132"/>
              <w:jc w:val="both"/>
              <w:rPr>
                <w:rFonts w:ascii="Calibri" w:hAnsi="Calibri" w:cs="Calibri"/>
              </w:rPr>
            </w:pP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Default="00EB4577" w:rsidP="00EB4577">
            <w:pPr>
              <w:pStyle w:val="Bezatstarpm"/>
              <w:ind w:right="137"/>
              <w:jc w:val="both"/>
              <w:rPr>
                <w:rFonts w:ascii="Calibri" w:hAnsi="Calibri" w:cs="Calibri"/>
                <w:u w:val="single"/>
              </w:rPr>
            </w:pPr>
            <w:proofErr w:type="spellStart"/>
            <w:r w:rsidRPr="000A249B">
              <w:rPr>
                <w:rFonts w:ascii="Calibri" w:hAnsi="Calibri" w:cs="Calibri"/>
              </w:rPr>
              <w:t>Pretendenta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piesaistītajiem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apakšuzņēmējiem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ir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visi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nepieciešamie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0A249B">
              <w:rPr>
                <w:rFonts w:ascii="Calibri" w:hAnsi="Calibri" w:cs="Calibri"/>
              </w:rPr>
              <w:t>sertifikāti</w:t>
            </w:r>
            <w:proofErr w:type="spellEnd"/>
            <w:r w:rsidRPr="000A249B">
              <w:rPr>
                <w:rFonts w:ascii="Calibri" w:hAnsi="Calibri" w:cs="Calibri"/>
              </w:rPr>
              <w:t>,</w:t>
            </w:r>
            <w:proofErr w:type="gramEnd"/>
            <w:r w:rsidRPr="000A249B">
              <w:rPr>
                <w:rFonts w:ascii="Calibri" w:hAnsi="Calibri" w:cs="Calibri"/>
              </w:rPr>
              <w:t xml:space="preserve"> licences un </w:t>
            </w:r>
            <w:proofErr w:type="spellStart"/>
            <w:r w:rsidRPr="000A249B">
              <w:rPr>
                <w:rFonts w:ascii="Calibri" w:hAnsi="Calibri" w:cs="Calibri"/>
              </w:rPr>
              <w:t>atļaujas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norādīto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darba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daļu</w:t>
            </w:r>
            <w:proofErr w:type="spellEnd"/>
            <w:r w:rsidRPr="000A249B">
              <w:rPr>
                <w:rFonts w:ascii="Calibri" w:hAnsi="Calibri" w:cs="Calibri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</w:rPr>
              <w:t>veikšanai</w:t>
            </w:r>
            <w:proofErr w:type="spellEnd"/>
            <w:r w:rsidRPr="000A249B">
              <w:rPr>
                <w:rFonts w:ascii="Calibri" w:hAnsi="Calibri" w:cs="Calibri"/>
              </w:rPr>
              <w:t xml:space="preserve">.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Informācija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jānorāda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par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tiem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apakšuzņēmējiem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,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kuriem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nododamā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darba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daļa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ir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vismaz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10% (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desmit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procenti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 xml:space="preserve">) no </w:t>
            </w:r>
            <w:proofErr w:type="spellStart"/>
            <w:r w:rsidRPr="000A249B">
              <w:rPr>
                <w:rFonts w:ascii="Calibri" w:hAnsi="Calibri" w:cs="Calibri"/>
                <w:u w:val="single"/>
              </w:rPr>
              <w:t>apjoma</w:t>
            </w:r>
            <w:proofErr w:type="spellEnd"/>
            <w:r w:rsidRPr="000A249B">
              <w:rPr>
                <w:rFonts w:ascii="Calibri" w:hAnsi="Calibri" w:cs="Calibri"/>
                <w:u w:val="single"/>
              </w:rPr>
              <w:t>.</w:t>
            </w:r>
          </w:p>
          <w:p w:rsidR="00D50C46" w:rsidRPr="00AF3F4B" w:rsidRDefault="00D50C46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Pr="00AF3F4B" w:rsidRDefault="00EB4577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Pretendenta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rīcībā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ir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visi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nepieciešamie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resursi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savlaicīgai</w:t>
            </w:r>
            <w:proofErr w:type="spellEnd"/>
            <w:r w:rsidRPr="00AF3F4B">
              <w:rPr>
                <w:rFonts w:ascii="Calibri" w:hAnsi="Calibri" w:cs="Calibri"/>
              </w:rPr>
              <w:t xml:space="preserve"> un </w:t>
            </w:r>
            <w:proofErr w:type="spellStart"/>
            <w:r w:rsidRPr="00AF3F4B">
              <w:rPr>
                <w:rFonts w:ascii="Calibri" w:hAnsi="Calibri" w:cs="Calibri"/>
              </w:rPr>
              <w:t>kvalitatīvai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izpildei</w:t>
            </w:r>
            <w:proofErr w:type="spellEnd"/>
            <w:r w:rsidRPr="00AF3F4B">
              <w:rPr>
                <w:rFonts w:ascii="Calibri" w:hAnsi="Calibri" w:cs="Calibri"/>
              </w:rPr>
              <w:t>.</w:t>
            </w: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Default="00EB4577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Ja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piedāvājumu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iesniedz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piegādātāju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apvienība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piedāvājuma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dokumentus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paraksta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atbilstoši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piegādātāju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savstarpējās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vienošanās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nosacījumiem</w:t>
            </w:r>
            <w:proofErr w:type="spellEnd"/>
            <w:r w:rsidRPr="00AF3F4B">
              <w:rPr>
                <w:rFonts w:ascii="Calibri" w:hAnsi="Calibri" w:cs="Calibri"/>
              </w:rPr>
              <w:t>.</w:t>
            </w:r>
          </w:p>
          <w:p w:rsidR="006A1876" w:rsidRPr="00AF3F4B" w:rsidRDefault="006A1876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</w:p>
        </w:tc>
      </w:tr>
      <w:tr w:rsidR="00EB4577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B4577" w:rsidRDefault="00EB4577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  <w:proofErr w:type="spellStart"/>
            <w:r w:rsidRPr="00AF3F4B">
              <w:rPr>
                <w:rFonts w:ascii="Calibri" w:hAnsi="Calibri" w:cs="Calibri"/>
              </w:rPr>
              <w:t>Pretendentam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jāiesniedz</w:t>
            </w:r>
            <w:proofErr w:type="spellEnd"/>
            <w:r w:rsidRPr="00AF3F4B">
              <w:rPr>
                <w:rFonts w:ascii="Calibri" w:hAnsi="Calibri" w:cs="Calibri"/>
              </w:rPr>
              <w:t xml:space="preserve"> atlases </w:t>
            </w:r>
            <w:proofErr w:type="spellStart"/>
            <w:r w:rsidRPr="00AF3F4B">
              <w:rPr>
                <w:rFonts w:ascii="Calibri" w:hAnsi="Calibri" w:cs="Calibri"/>
              </w:rPr>
              <w:t>dokumenti</w:t>
            </w:r>
            <w:proofErr w:type="spellEnd"/>
            <w:r w:rsidRPr="00AF3F4B">
              <w:rPr>
                <w:rFonts w:ascii="Calibri" w:hAnsi="Calibri" w:cs="Calibri"/>
              </w:rPr>
              <w:t xml:space="preserve"> par </w:t>
            </w:r>
            <w:proofErr w:type="spellStart"/>
            <w:r w:rsidRPr="00AF3F4B">
              <w:rPr>
                <w:rFonts w:ascii="Calibri" w:hAnsi="Calibri" w:cs="Calibri"/>
              </w:rPr>
              <w:t>katru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apvienības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dalībnieku</w:t>
            </w:r>
            <w:proofErr w:type="spellEnd"/>
            <w:r w:rsidRPr="00AF3F4B">
              <w:rPr>
                <w:rFonts w:ascii="Calibri" w:hAnsi="Calibri" w:cs="Calibri"/>
              </w:rPr>
              <w:t xml:space="preserve">. </w:t>
            </w:r>
            <w:proofErr w:type="spellStart"/>
            <w:r w:rsidRPr="00AF3F4B">
              <w:rPr>
                <w:rFonts w:ascii="Calibri" w:hAnsi="Calibri" w:cs="Calibri"/>
              </w:rPr>
              <w:t>Uz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katru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8F4862">
              <w:rPr>
                <w:rFonts w:ascii="Calibri" w:hAnsi="Calibri" w:cs="Calibri"/>
              </w:rPr>
              <w:t>apvienības</w:t>
            </w:r>
            <w:proofErr w:type="spellEnd"/>
            <w:r w:rsidRPr="008F4862">
              <w:rPr>
                <w:rFonts w:ascii="Calibri" w:hAnsi="Calibri" w:cs="Calibri"/>
              </w:rPr>
              <w:t xml:space="preserve"> </w:t>
            </w:r>
            <w:proofErr w:type="spellStart"/>
            <w:r w:rsidRPr="008F4862">
              <w:rPr>
                <w:rFonts w:ascii="Calibri" w:hAnsi="Calibri" w:cs="Calibri"/>
              </w:rPr>
              <w:t>dalībnieku</w:t>
            </w:r>
            <w:proofErr w:type="spellEnd"/>
            <w:r w:rsidRPr="008F4862">
              <w:rPr>
                <w:rFonts w:ascii="Calibri" w:hAnsi="Calibri" w:cs="Calibri"/>
              </w:rPr>
              <w:t xml:space="preserve"> </w:t>
            </w:r>
            <w:proofErr w:type="spellStart"/>
            <w:r w:rsidRPr="008F4862">
              <w:rPr>
                <w:rFonts w:ascii="Calibri" w:hAnsi="Calibri" w:cs="Calibri"/>
              </w:rPr>
              <w:t>attiecas</w:t>
            </w:r>
            <w:proofErr w:type="spellEnd"/>
            <w:r w:rsidRPr="008F4862">
              <w:rPr>
                <w:rFonts w:ascii="Calibri" w:hAnsi="Calibri" w:cs="Calibri"/>
              </w:rPr>
              <w:t xml:space="preserve"> </w:t>
            </w:r>
            <w:proofErr w:type="spellStart"/>
            <w:r w:rsidRPr="008F4862">
              <w:rPr>
                <w:rFonts w:ascii="Calibri" w:hAnsi="Calibri" w:cs="Calibri"/>
              </w:rPr>
              <w:t>nolikuma</w:t>
            </w:r>
            <w:proofErr w:type="spellEnd"/>
            <w:r w:rsidRPr="008F486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3.3</w:t>
            </w:r>
            <w:r w:rsidRPr="008F4862"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 w:rsidRPr="008F4862">
              <w:rPr>
                <w:rFonts w:ascii="Calibri" w:hAnsi="Calibri" w:cs="Calibri"/>
              </w:rPr>
              <w:t>punkts</w:t>
            </w:r>
            <w:proofErr w:type="spellEnd"/>
            <w:proofErr w:type="gramEnd"/>
            <w:r w:rsidRPr="008F4862">
              <w:rPr>
                <w:rFonts w:ascii="Calibri" w:hAnsi="Calibri" w:cs="Calibri"/>
              </w:rPr>
              <w:t xml:space="preserve"> un </w:t>
            </w:r>
            <w:r>
              <w:rPr>
                <w:rFonts w:ascii="Calibri" w:hAnsi="Calibri" w:cs="Calibri"/>
              </w:rPr>
              <w:t>3</w:t>
            </w:r>
            <w:r w:rsidRPr="008F4862">
              <w:rPr>
                <w:rFonts w:ascii="Calibri" w:hAnsi="Calibri" w:cs="Calibri"/>
              </w:rPr>
              <w:t>.1</w:t>
            </w:r>
            <w:r>
              <w:rPr>
                <w:rFonts w:ascii="Calibri" w:hAnsi="Calibri" w:cs="Calibri"/>
              </w:rPr>
              <w:t>3</w:t>
            </w:r>
            <w:r w:rsidRPr="008F4862">
              <w:rPr>
                <w:rFonts w:ascii="Calibri" w:hAnsi="Calibri" w:cs="Calibri"/>
              </w:rPr>
              <w:t xml:space="preserve">. </w:t>
            </w:r>
            <w:proofErr w:type="spellStart"/>
            <w:proofErr w:type="gramStart"/>
            <w:r w:rsidRPr="008F4862">
              <w:rPr>
                <w:rFonts w:ascii="Calibri" w:hAnsi="Calibri" w:cs="Calibri"/>
              </w:rPr>
              <w:t>punkts</w:t>
            </w:r>
            <w:proofErr w:type="spellEnd"/>
            <w:proofErr w:type="gramEnd"/>
            <w:r w:rsidRPr="008F4862">
              <w:rPr>
                <w:rFonts w:ascii="Calibri" w:hAnsi="Calibri" w:cs="Calibri"/>
              </w:rPr>
              <w:t>, bet</w:t>
            </w:r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pārējos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nolikuma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punktos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izvirzītās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prasības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jāizpilda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piegādātāju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apvienībai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kopumā</w:t>
            </w:r>
            <w:proofErr w:type="spellEnd"/>
            <w:r w:rsidRPr="00AF3F4B">
              <w:rPr>
                <w:rFonts w:ascii="Calibri" w:hAnsi="Calibri" w:cs="Calibri"/>
              </w:rPr>
              <w:t xml:space="preserve">, </w:t>
            </w:r>
            <w:proofErr w:type="spellStart"/>
            <w:r w:rsidRPr="00AF3F4B">
              <w:rPr>
                <w:rFonts w:ascii="Calibri" w:hAnsi="Calibri" w:cs="Calibri"/>
              </w:rPr>
              <w:t>ņemot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vērā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tās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pienākumus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iespējamā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līguma</w:t>
            </w:r>
            <w:proofErr w:type="spellEnd"/>
            <w:r w:rsidRPr="00AF3F4B">
              <w:rPr>
                <w:rFonts w:ascii="Calibri" w:hAnsi="Calibri" w:cs="Calibri"/>
              </w:rPr>
              <w:t xml:space="preserve"> </w:t>
            </w:r>
            <w:proofErr w:type="spellStart"/>
            <w:r w:rsidRPr="00AF3F4B">
              <w:rPr>
                <w:rFonts w:ascii="Calibri" w:hAnsi="Calibri" w:cs="Calibri"/>
              </w:rPr>
              <w:t>izpildē</w:t>
            </w:r>
            <w:proofErr w:type="spellEnd"/>
            <w:r w:rsidRPr="00AF3F4B">
              <w:rPr>
                <w:rFonts w:ascii="Calibri" w:hAnsi="Calibri" w:cs="Calibri"/>
              </w:rPr>
              <w:t>.</w:t>
            </w:r>
          </w:p>
          <w:p w:rsidR="00FB0519" w:rsidRPr="00AF3F4B" w:rsidRDefault="00FB0519" w:rsidP="00EB4577">
            <w:pPr>
              <w:pStyle w:val="Bezatstarpm"/>
              <w:ind w:right="137"/>
              <w:jc w:val="both"/>
              <w:rPr>
                <w:rFonts w:ascii="Calibri" w:hAnsi="Calibri" w:cs="Calibri"/>
              </w:rPr>
            </w:pPr>
          </w:p>
        </w:tc>
      </w:tr>
      <w:tr w:rsidR="000D76B8" w:rsidRPr="00A91C3D" w:rsidTr="00485DEF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6A1876" w:rsidRPr="00A91C3D" w:rsidRDefault="00EB4577" w:rsidP="00D50C46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F3F4B">
              <w:rPr>
                <w:rFonts w:ascii="Calibri" w:hAnsi="Calibri" w:cs="Calibri"/>
              </w:rPr>
              <w:t>Uz pretendentu neattiecas Publisko iepirkumu likuma 9.panta astotajā daļā noteiktie izslēgšanas nosacījumi.</w:t>
            </w:r>
          </w:p>
        </w:tc>
      </w:tr>
      <w:tr w:rsidR="000D76B8" w:rsidRPr="00A91C3D" w:rsidTr="00485DEF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lastRenderedPageBreak/>
              <w:t>Pretendent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A91C3D">
              <w:rPr>
                <w:rFonts w:asciiTheme="minorHAnsi" w:hAnsiTheme="minorHAnsi" w:cstheme="minorHAnsi"/>
                <w:b/>
              </w:rPr>
              <w:t xml:space="preserve">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D76B8" w:rsidRDefault="000D76B8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984"/>
              <w:gridCol w:w="1701"/>
              <w:gridCol w:w="1276"/>
            </w:tblGrid>
            <w:tr w:rsidR="00850B40" w:rsidTr="00850B40">
              <w:tc>
                <w:tcPr>
                  <w:tcW w:w="2297" w:type="dxa"/>
                </w:tcPr>
                <w:p w:rsidR="00850B40" w:rsidRPr="00BF27FB" w:rsidRDefault="00850B40" w:rsidP="00485DEF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984" w:type="dxa"/>
                </w:tcPr>
                <w:p w:rsidR="00850B40" w:rsidRPr="00BF27FB" w:rsidRDefault="00850B40" w:rsidP="00485DEF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F27FB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1701" w:type="dxa"/>
                </w:tcPr>
                <w:p w:rsidR="00850B40" w:rsidRPr="00BF27FB" w:rsidRDefault="00850B40" w:rsidP="00485DEF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Iegūtais punktu skaits</w:t>
                  </w:r>
                </w:p>
              </w:tc>
              <w:tc>
                <w:tcPr>
                  <w:tcW w:w="1276" w:type="dxa"/>
                </w:tcPr>
                <w:p w:rsidR="00850B40" w:rsidRPr="00BF27FB" w:rsidRDefault="00850B40" w:rsidP="00485DEF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Attālums km</w:t>
                  </w:r>
                </w:p>
              </w:tc>
            </w:tr>
            <w:tr w:rsidR="00850B40" w:rsidTr="00850B40">
              <w:tc>
                <w:tcPr>
                  <w:tcW w:w="2297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SIA “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Last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IT” </w:t>
                  </w:r>
                </w:p>
              </w:tc>
              <w:tc>
                <w:tcPr>
                  <w:tcW w:w="1984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54103131031</w:t>
                  </w:r>
                </w:p>
              </w:tc>
              <w:tc>
                <w:tcPr>
                  <w:tcW w:w="1701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362</w:t>
                  </w:r>
                </w:p>
              </w:tc>
            </w:tr>
            <w:tr w:rsidR="00850B40" w:rsidTr="00850B40">
              <w:tc>
                <w:tcPr>
                  <w:tcW w:w="2297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SIA “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Maksikoms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“</w:t>
                  </w:r>
                </w:p>
              </w:tc>
              <w:tc>
                <w:tcPr>
                  <w:tcW w:w="1984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50003408641</w:t>
                  </w:r>
                </w:p>
              </w:tc>
              <w:tc>
                <w:tcPr>
                  <w:tcW w:w="1701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850B40" w:rsidRDefault="00850B40" w:rsidP="00850B40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239</w:t>
                  </w:r>
                </w:p>
              </w:tc>
            </w:tr>
            <w:tr w:rsidR="00850B40" w:rsidTr="00850B40">
              <w:tc>
                <w:tcPr>
                  <w:tcW w:w="2297" w:type="dxa"/>
                  <w:vAlign w:val="center"/>
                </w:tcPr>
                <w:p w:rsidR="00850B40" w:rsidRDefault="00850B40" w:rsidP="00850B40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SIA “OSS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Networks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” </w:t>
                  </w:r>
                </w:p>
              </w:tc>
              <w:tc>
                <w:tcPr>
                  <w:tcW w:w="1984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50103316201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50B40" w:rsidRDefault="00850B40" w:rsidP="00485DEF">
                  <w:pPr>
                    <w:ind w:right="49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850B40" w:rsidRDefault="00850B40" w:rsidP="00850B40">
                  <w:pPr>
                    <w:pStyle w:val="Parastais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238</w:t>
                  </w:r>
                </w:p>
              </w:tc>
            </w:tr>
          </w:tbl>
          <w:p w:rsidR="000D76B8" w:rsidRPr="004114EA" w:rsidRDefault="000D76B8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76B8" w:rsidRPr="00A91C3D" w:rsidTr="00485DEF">
        <w:tc>
          <w:tcPr>
            <w:tcW w:w="10488" w:type="dxa"/>
            <w:gridSpan w:val="4"/>
            <w:shd w:val="clear" w:color="auto" w:fill="EAF1DD"/>
            <w:vAlign w:val="center"/>
          </w:tcPr>
          <w:p w:rsidR="000D76B8" w:rsidRPr="00A91C3D" w:rsidRDefault="000D76B8" w:rsidP="00850B40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</w:tc>
      </w:tr>
      <w:tr w:rsidR="000D76B8" w:rsidRPr="00A91C3D" w:rsidTr="00485DEF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0D76B8" w:rsidRDefault="000D76B8" w:rsidP="00850B40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723F63">
              <w:rPr>
                <w:rFonts w:asciiTheme="minorHAnsi" w:hAnsiTheme="minorHAnsi" w:cstheme="minorHAnsi"/>
              </w:rPr>
              <w:t xml:space="preserve">Piešķirt līguma slēgšanas tiesības </w:t>
            </w:r>
            <w:r w:rsidR="00850B40">
              <w:rPr>
                <w:rFonts w:asciiTheme="minorHAnsi" w:hAnsiTheme="minorHAnsi" w:cstheme="minorHAnsi"/>
              </w:rPr>
              <w:t xml:space="preserve">SIA “OSS </w:t>
            </w:r>
            <w:proofErr w:type="spellStart"/>
            <w:r w:rsidR="00850B40">
              <w:rPr>
                <w:rFonts w:asciiTheme="minorHAnsi" w:hAnsiTheme="minorHAnsi" w:cstheme="minorHAnsi"/>
              </w:rPr>
              <w:t>Networks</w:t>
            </w:r>
            <w:proofErr w:type="spellEnd"/>
            <w:r w:rsidR="00850B40">
              <w:rPr>
                <w:rFonts w:asciiTheme="minorHAnsi" w:hAnsiTheme="minorHAnsi" w:cstheme="minorHAnsi"/>
              </w:rPr>
              <w:t xml:space="preserve">”, </w:t>
            </w:r>
            <w:r w:rsidRPr="00723F63">
              <w:rPr>
                <w:rFonts w:asciiTheme="minorHAnsi" w:hAnsiTheme="minorHAnsi" w:cstheme="minorHAnsi"/>
              </w:rPr>
              <w:t>reģistrācijas Nr.</w:t>
            </w:r>
            <w:r w:rsidR="00850B40">
              <w:rPr>
                <w:rFonts w:asciiTheme="minorHAnsi" w:hAnsiTheme="minorHAnsi" w:cstheme="minorHAnsi"/>
              </w:rPr>
              <w:t xml:space="preserve"> 50103316201</w:t>
            </w:r>
            <w:r w:rsidR="006A1876">
              <w:rPr>
                <w:rFonts w:asciiTheme="minorHAnsi" w:hAnsiTheme="minorHAnsi" w:cstheme="minorHAnsi"/>
              </w:rPr>
              <w:t xml:space="preserve"> </w:t>
            </w:r>
            <w:r w:rsidR="00850B40">
              <w:rPr>
                <w:rFonts w:asciiTheme="minorHAnsi" w:hAnsiTheme="minorHAnsi" w:cstheme="minorHAnsi"/>
              </w:rPr>
              <w:t>par kopējo līguma cenu 12396.69 (EUR bez PVN)</w:t>
            </w:r>
            <w:r w:rsidRPr="00723F63">
              <w:rPr>
                <w:rFonts w:asciiTheme="minorHAnsi" w:hAnsiTheme="minorHAnsi" w:cstheme="minorHAnsi"/>
              </w:rPr>
              <w:t xml:space="preserve">, jo piedāvājums atbilst nolikuma prasībām </w:t>
            </w:r>
            <w:r w:rsidR="00850B40">
              <w:rPr>
                <w:rFonts w:asciiTheme="minorHAnsi" w:hAnsiTheme="minorHAnsi" w:cstheme="minorHAnsi"/>
              </w:rPr>
              <w:t>iesniedzis visus iepirkuma nolikumā pieprasītos dokumentus un ir ar vismazāko attālumu no juridiskās adrese</w:t>
            </w:r>
            <w:r w:rsidR="006A1876">
              <w:rPr>
                <w:rFonts w:asciiTheme="minorHAnsi" w:hAnsiTheme="minorHAnsi" w:cstheme="minorHAnsi"/>
              </w:rPr>
              <w:t>s</w:t>
            </w:r>
            <w:r w:rsidR="00850B40">
              <w:rPr>
                <w:rFonts w:asciiTheme="minorHAnsi" w:hAnsiTheme="minorHAnsi" w:cstheme="minorHAnsi"/>
              </w:rPr>
              <w:t xml:space="preserve"> līdz Nīcas novada domei (238 km).</w:t>
            </w:r>
          </w:p>
          <w:p w:rsidR="006A1876" w:rsidRPr="00723F63" w:rsidRDefault="006A1876" w:rsidP="00850B40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D76B8" w:rsidRPr="00A91C3D" w:rsidTr="00485DEF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0D76B8" w:rsidRPr="00A91C3D" w:rsidRDefault="000D76B8" w:rsidP="00485DEF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0D76B8" w:rsidRPr="00A91C3D" w:rsidRDefault="00850B40" w:rsidP="00485DEF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09.09</w:t>
            </w:r>
            <w:r w:rsidR="000D76B8" w:rsidRPr="00A91C3D">
              <w:rPr>
                <w:rFonts w:asciiTheme="minorHAnsi" w:hAnsiTheme="minorHAnsi" w:cstheme="minorHAnsi"/>
              </w:rPr>
              <w:t>.20</w:t>
            </w:r>
            <w:r w:rsidR="000D76B8">
              <w:rPr>
                <w:rFonts w:asciiTheme="minorHAnsi" w:hAnsiTheme="minorHAnsi" w:cstheme="minorHAnsi"/>
              </w:rPr>
              <w:t>20</w:t>
            </w:r>
            <w:r w:rsidR="000D76B8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0D76B8" w:rsidRPr="00A91C3D" w:rsidTr="00485DEF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0D76B8" w:rsidRPr="00A91C3D" w:rsidRDefault="000D76B8" w:rsidP="00485DEF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0D76B8" w:rsidRPr="00A91C3D" w:rsidRDefault="00850B40" w:rsidP="00485DEF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10.09</w:t>
            </w:r>
            <w:r w:rsidR="000D76B8">
              <w:rPr>
                <w:rFonts w:asciiTheme="minorHAnsi" w:hAnsiTheme="minorHAnsi" w:cstheme="minorHAnsi"/>
                <w:lang w:val="lv-LV"/>
              </w:rPr>
              <w:t>.</w:t>
            </w:r>
            <w:r w:rsidR="000D76B8" w:rsidRPr="00A91C3D">
              <w:rPr>
                <w:rFonts w:asciiTheme="minorHAnsi" w:hAnsiTheme="minorHAnsi" w:cstheme="minorHAnsi"/>
                <w:lang w:val="lv-LV"/>
              </w:rPr>
              <w:t>20</w:t>
            </w:r>
            <w:r w:rsidR="000D76B8">
              <w:rPr>
                <w:rFonts w:asciiTheme="minorHAnsi" w:hAnsiTheme="minorHAnsi" w:cstheme="minorHAnsi"/>
                <w:lang w:val="lv-LV"/>
              </w:rPr>
              <w:t>20</w:t>
            </w:r>
            <w:r w:rsidR="000D76B8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0D76B8" w:rsidRPr="00A91C3D" w:rsidTr="00485DE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6B8" w:rsidRPr="00A91C3D" w:rsidRDefault="000D76B8" w:rsidP="00485DEF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0D76B8" w:rsidRPr="00A91C3D" w:rsidRDefault="000D76B8" w:rsidP="00850B40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</w:t>
            </w:r>
            <w:r w:rsidR="00850B40">
              <w:rPr>
                <w:rFonts w:asciiTheme="minorHAnsi" w:hAnsiTheme="minorHAnsi" w:cstheme="minorHAnsi"/>
              </w:rPr>
              <w:t>pirkuma komisijas priekšsēdētāja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91C3D">
              <w:rPr>
                <w:rFonts w:asciiTheme="minorHAnsi" w:hAnsiTheme="minorHAnsi" w:cstheme="minorHAnsi"/>
              </w:rPr>
              <w:t xml:space="preserve">                                   </w:t>
            </w:r>
            <w:r w:rsidR="00850B40">
              <w:rPr>
                <w:rFonts w:asciiTheme="minorHAnsi" w:hAnsiTheme="minorHAnsi" w:cstheme="minorHAnsi"/>
              </w:rPr>
              <w:t xml:space="preserve">                           D.Tapiņa</w:t>
            </w:r>
          </w:p>
        </w:tc>
      </w:tr>
      <w:tr w:rsidR="000D76B8" w:rsidRPr="00A91C3D" w:rsidTr="00485DE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6B8" w:rsidRPr="00A91C3D" w:rsidRDefault="000D76B8" w:rsidP="00485DEF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0D76B8" w:rsidRPr="00A91C3D" w:rsidRDefault="000D76B8" w:rsidP="00850B40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="00850B40">
              <w:rPr>
                <w:rFonts w:asciiTheme="minorHAnsi" w:hAnsiTheme="minorHAnsi" w:cstheme="minorHAnsi"/>
                <w:sz w:val="20"/>
                <w:szCs w:val="20"/>
              </w:rPr>
              <w:t>Liepa</w:t>
            </w:r>
          </w:p>
        </w:tc>
      </w:tr>
    </w:tbl>
    <w:p w:rsidR="000D76B8" w:rsidRPr="00A91C3D" w:rsidRDefault="000D76B8" w:rsidP="000D76B8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C82AAE" w:rsidRDefault="00C82AAE"/>
    <w:sectPr w:rsidR="00C82AAE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55" w:rsidRDefault="007B3755">
      <w:r>
        <w:separator/>
      </w:r>
    </w:p>
  </w:endnote>
  <w:endnote w:type="continuationSeparator" w:id="0">
    <w:p w:rsidR="007B3755" w:rsidRDefault="007B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850B4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46" w:rsidRPr="00D50C46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7B375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55" w:rsidRDefault="007B3755">
      <w:r>
        <w:separator/>
      </w:r>
    </w:p>
  </w:footnote>
  <w:footnote w:type="continuationSeparator" w:id="0">
    <w:p w:rsidR="007B3755" w:rsidRDefault="007B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B8"/>
    <w:rsid w:val="000D76B8"/>
    <w:rsid w:val="006A1876"/>
    <w:rsid w:val="007B3755"/>
    <w:rsid w:val="00850B40"/>
    <w:rsid w:val="00C82AAE"/>
    <w:rsid w:val="00D50C46"/>
    <w:rsid w:val="00EB4577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D76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0D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0D76B8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0D76B8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0D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0D76B8"/>
    <w:rPr>
      <w:color w:val="0000FF"/>
      <w:u w:val="single"/>
    </w:rPr>
  </w:style>
  <w:style w:type="table" w:styleId="Reatabula">
    <w:name w:val="Table Grid"/>
    <w:basedOn w:val="Parastatabula"/>
    <w:uiPriority w:val="59"/>
    <w:rsid w:val="000D76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0D76B8"/>
    <w:pPr>
      <w:ind w:left="72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rsid w:val="000D76B8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D76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0D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0D76B8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0D76B8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0D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0D76B8"/>
    <w:rPr>
      <w:color w:val="0000FF"/>
      <w:u w:val="single"/>
    </w:rPr>
  </w:style>
  <w:style w:type="table" w:styleId="Reatabula">
    <w:name w:val="Table Grid"/>
    <w:basedOn w:val="Parastatabula"/>
    <w:uiPriority w:val="59"/>
    <w:rsid w:val="000D76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0D76B8"/>
    <w:pPr>
      <w:ind w:left="720"/>
      <w:contextualSpacing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rsid w:val="000D76B8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4</cp:revision>
  <dcterms:created xsi:type="dcterms:W3CDTF">2020-09-10T13:21:00Z</dcterms:created>
  <dcterms:modified xsi:type="dcterms:W3CDTF">2020-09-10T13:55:00Z</dcterms:modified>
</cp:coreProperties>
</file>